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ind w:left="-1260" w:leftChars="-600" w:right="-874" w:rightChars="-416" w:firstLine="157" w:firstLineChars="56"/>
        <w:jc w:val="both"/>
        <w:rPr>
          <w:rFonts w:hint="eastAsia"/>
          <w:b/>
          <w:sz w:val="24"/>
        </w:rPr>
      </w:pPr>
      <w:bookmarkStart w:id="0" w:name="_GoBack"/>
      <w:bookmarkEnd w:id="0"/>
      <w:r>
        <w:rPr>
          <w:rFonts w:hint="eastAsia" w:ascii="黑体" w:eastAsia="黑体"/>
          <w:spacing w:val="0"/>
          <w:sz w:val="28"/>
          <w:szCs w:val="28"/>
        </w:rPr>
        <w:drawing>
          <wp:anchor distT="0" distB="0" distL="114300" distR="114300" simplePos="0" relativeHeight="251660288" behindDoc="0" locked="0" layoutInCell="1" allowOverlap="1">
            <wp:simplePos x="0" y="0"/>
            <wp:positionH relativeFrom="column">
              <wp:posOffset>-226060</wp:posOffset>
            </wp:positionH>
            <wp:positionV relativeFrom="paragraph">
              <wp:posOffset>17780</wp:posOffset>
            </wp:positionV>
            <wp:extent cx="858520" cy="243840"/>
            <wp:effectExtent l="0" t="0" r="0" b="3810"/>
            <wp:wrapThrough wrapText="bothSides">
              <wp:wrapPolygon>
                <wp:start x="959" y="0"/>
                <wp:lineTo x="0" y="3375"/>
                <wp:lineTo x="0" y="16875"/>
                <wp:lineTo x="959" y="20250"/>
                <wp:lineTo x="5751" y="20250"/>
                <wp:lineTo x="21089" y="18563"/>
                <wp:lineTo x="21089" y="1688"/>
                <wp:lineTo x="5751" y="0"/>
                <wp:lineTo x="959" y="0"/>
              </wp:wrapPolygon>
            </wp:wrapThrough>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58520" cy="243840"/>
                    </a:xfrm>
                    <a:prstGeom prst="rect">
                      <a:avLst/>
                    </a:prstGeom>
                    <a:noFill/>
                    <a:ln>
                      <a:noFill/>
                    </a:ln>
                    <a:effectLst/>
                  </pic:spPr>
                </pic:pic>
              </a:graphicData>
            </a:graphic>
          </wp:anchor>
        </w:drawing>
      </w:r>
      <w:r>
        <w:rPr>
          <w:rFonts w:hint="eastAsia"/>
          <w:sz w:val="24"/>
          <w:szCs w:val="24"/>
        </w:rPr>
        <w:t xml:space="preserve"> </w:t>
      </w:r>
      <w:r>
        <w:rPr>
          <w:rFonts w:hint="eastAsia"/>
          <w:sz w:val="24"/>
          <w:szCs w:val="24"/>
          <w:lang w:val="en-US" w:eastAsia="zh-CN"/>
        </w:rPr>
        <w:t xml:space="preserve">                     </w:t>
      </w:r>
      <w:r>
        <w:rPr>
          <w:rFonts w:hint="eastAsia" w:ascii="黑体"/>
          <w:spacing w:val="0"/>
          <w:sz w:val="24"/>
          <w:szCs w:val="24"/>
        </w:rPr>
        <w:t>深圳市电子商务安全证书管理有限</w:t>
      </w:r>
      <w:r>
        <w:rPr>
          <w:rFonts w:hint="eastAsia" w:ascii="黑体"/>
          <w:spacing w:val="0"/>
          <w:sz w:val="24"/>
          <w:szCs w:val="24"/>
          <w:lang w:val="en-US" w:eastAsia="zh-CN"/>
        </w:rPr>
        <w:t>公司</w:t>
      </w:r>
      <w:r>
        <w:rPr>
          <w:rFonts w:hint="eastAsia"/>
          <w:b/>
          <w:sz w:val="24"/>
        </w:rPr>
        <w:t xml:space="preserve">      </w:t>
      </w:r>
    </w:p>
    <w:p>
      <w:pPr>
        <w:jc w:val="center"/>
        <w:rPr>
          <w:rFonts w:hint="eastAsia"/>
          <w:b/>
          <w:sz w:val="21"/>
          <w:szCs w:val="20"/>
        </w:rPr>
      </w:pPr>
      <w:r>
        <w:rPr>
          <w:rFonts w:hint="eastAsia"/>
          <w:b/>
          <w:sz w:val="21"/>
          <w:szCs w:val="20"/>
        </w:rPr>
        <mc:AlternateContent>
          <mc:Choice Requires="wps">
            <w:drawing>
              <wp:anchor distT="0" distB="0" distL="114300" distR="114300" simplePos="0" relativeHeight="251659264" behindDoc="0" locked="0" layoutInCell="1" allowOverlap="1">
                <wp:simplePos x="0" y="0"/>
                <wp:positionH relativeFrom="column">
                  <wp:posOffset>-912495</wp:posOffset>
                </wp:positionH>
                <wp:positionV relativeFrom="paragraph">
                  <wp:posOffset>144780</wp:posOffset>
                </wp:positionV>
                <wp:extent cx="5839460" cy="24130"/>
                <wp:effectExtent l="0" t="13970" r="2540" b="254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39460" cy="24130"/>
                        </a:xfrm>
                        <a:prstGeom prst="line">
                          <a:avLst/>
                        </a:prstGeom>
                        <a:noFill/>
                        <a:ln w="28575">
                          <a:solidFill>
                            <a:srgbClr val="666699"/>
                          </a:solidFill>
                          <a:round/>
                        </a:ln>
                      </wps:spPr>
                      <wps:bodyPr/>
                    </wps:wsp>
                  </a:graphicData>
                </a:graphic>
              </wp:anchor>
            </w:drawing>
          </mc:Choice>
          <mc:Fallback>
            <w:pict>
              <v:line id="_x0000_s1026" o:spid="_x0000_s1026" o:spt="20" style="position:absolute;left:0pt;margin-left:-71.85pt;margin-top:11.4pt;height:1.9pt;width:459.8pt;z-index:251659264;mso-width-relative:page;mso-height-relative:page;" filled="f" stroked="t" coordsize="21600,21600" o:gfxdata="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1tlZdsAAAAKAQAADwAAAAAAAAABACAAAAAiAAAAZHJzL2Rvd25yZXYueG1sUEsBAhQAFAAA&#10;AAgAh07iQM20PobsAQAArwMAAA4AAAAAAAAAAQAgAAAAKgEAAGRycy9lMm9Eb2MueG1sUEsFBgAA&#10;AAAGAAYAWQEAAIgFAAAAAA==&#10;">
                <v:fill on="f" focussize="0,0"/>
                <v:stroke weight="2.25pt" color="#666699" joinstyle="round"/>
                <v:imagedata o:title=""/>
                <o:lock v:ext="edit" aspectratio="f"/>
              </v:line>
            </w:pict>
          </mc:Fallback>
        </mc:AlternateContent>
      </w:r>
      <w:r>
        <w:rPr>
          <w:rFonts w:hint="eastAsia"/>
          <w:b/>
          <w:sz w:val="21"/>
          <w:szCs w:val="20"/>
        </w:rPr>
        <w:t xml:space="preserve"> </w:t>
      </w:r>
    </w:p>
    <w:p>
      <w:pPr>
        <w:jc w:val="center"/>
        <w:rPr>
          <w:rFonts w:hint="eastAsia" w:ascii="宋体" w:hAnsi="宋体" w:cs="宋体"/>
          <w:b/>
          <w:sz w:val="24"/>
        </w:rPr>
        <w:sectPr>
          <w:pgSz w:w="11906" w:h="16838"/>
          <w:pgMar w:top="312" w:right="1800" w:bottom="312" w:left="1800" w:header="851" w:footer="992" w:gutter="0"/>
          <w:cols w:space="720" w:num="1"/>
          <w:docGrid w:type="lines" w:linePitch="312" w:charSpace="0"/>
        </w:sectPr>
      </w:pPr>
      <w:r>
        <w:rPr>
          <w:rFonts w:hint="eastAsia" w:ascii="宋体" w:hAnsi="宋体" w:cs="宋体"/>
          <w:b/>
          <w:sz w:val="24"/>
        </w:rPr>
        <w:t xml:space="preserve">电子认证服务协议                   </w:t>
      </w:r>
      <w:r>
        <w:rPr>
          <w:rFonts w:hint="eastAsia" w:ascii="宋体" w:hAnsi="宋体" w:cs="宋体"/>
          <w:b/>
          <w:sz w:val="16"/>
          <w:szCs w:val="16"/>
        </w:rPr>
        <w:t xml:space="preserve"> </w:t>
      </w:r>
    </w:p>
    <w:p>
      <w:pPr>
        <w:spacing w:line="240" w:lineRule="exact"/>
        <w:ind w:left="-538" w:leftChars="-256" w:right="-693" w:rightChars="-330" w:firstLine="300" w:firstLineChars="200"/>
        <w:rPr>
          <w:rFonts w:ascii="宋体" w:hAnsi="宋体"/>
          <w:sz w:val="15"/>
          <w:szCs w:val="15"/>
          <w:lang w:val="en-GB"/>
        </w:rPr>
      </w:pPr>
      <w:r>
        <w:rPr>
          <w:rFonts w:hint="eastAsia" w:ascii="宋体" w:hAnsi="宋体"/>
          <w:sz w:val="15"/>
          <w:szCs w:val="15"/>
        </w:rPr>
        <w:t>深圳市电子商务安全证书管理有限公司（以下简称</w:t>
      </w:r>
      <w:r>
        <w:rPr>
          <w:rFonts w:ascii="Arial" w:hAnsi="Arial" w:cs="Arial"/>
          <w:sz w:val="15"/>
          <w:szCs w:val="15"/>
        </w:rPr>
        <w:t>SZCA</w:t>
      </w:r>
      <w:r>
        <w:rPr>
          <w:rFonts w:hint="eastAsia" w:ascii="宋体" w:hAnsi="宋体"/>
          <w:sz w:val="15"/>
          <w:szCs w:val="15"/>
        </w:rPr>
        <w:t>）作为权威、可信、公正的第三方信任机构，根据国家相关法律法规，为用户提供合法的数字证书申请、审核、签发和管理等电子认证服务。为保障数字证书申请人</w:t>
      </w:r>
      <w:r>
        <w:rPr>
          <w:rFonts w:hint="eastAsia" w:ascii="宋体" w:hAnsi="宋体"/>
          <w:sz w:val="15"/>
          <w:szCs w:val="15"/>
          <w:lang w:val="en-GB"/>
        </w:rPr>
        <w:t>和</w:t>
      </w:r>
      <w:r>
        <w:rPr>
          <w:rFonts w:ascii="Arial" w:hAnsi="Arial" w:cs="Arial"/>
          <w:sz w:val="15"/>
          <w:szCs w:val="15"/>
        </w:rPr>
        <w:t>SZCA</w:t>
      </w:r>
      <w:r>
        <w:rPr>
          <w:rFonts w:hint="eastAsia" w:ascii="Arial" w:hAnsi="Arial" w:cs="Arial"/>
          <w:sz w:val="15"/>
          <w:szCs w:val="15"/>
        </w:rPr>
        <w:t>各方</w:t>
      </w:r>
      <w:r>
        <w:rPr>
          <w:rFonts w:hint="eastAsia" w:ascii="宋体" w:hAnsi="宋体"/>
          <w:sz w:val="15"/>
          <w:szCs w:val="15"/>
        </w:rPr>
        <w:t>的合法权益，双方本着平等、自愿的原则达成本协议。本协议内容源自《</w:t>
      </w:r>
      <w:r>
        <w:rPr>
          <w:rFonts w:ascii="Arial" w:hAnsi="Arial" w:cs="Arial"/>
          <w:sz w:val="15"/>
          <w:szCs w:val="15"/>
        </w:rPr>
        <w:t>深圳CA电子认证业务规则</w:t>
      </w:r>
      <w:r>
        <w:rPr>
          <w:rFonts w:hint="eastAsia" w:ascii="宋体" w:hAnsi="宋体"/>
          <w:sz w:val="15"/>
          <w:szCs w:val="15"/>
        </w:rPr>
        <w:t>》，如出现内容抵触，以《</w:t>
      </w:r>
      <w:r>
        <w:rPr>
          <w:rFonts w:ascii="Arial" w:hAnsi="Arial" w:cs="Arial"/>
          <w:sz w:val="15"/>
          <w:szCs w:val="15"/>
        </w:rPr>
        <w:t>深圳CA电子认证业务规则</w:t>
      </w:r>
      <w:r>
        <w:rPr>
          <w:rFonts w:hint="eastAsia" w:ascii="宋体" w:hAnsi="宋体"/>
          <w:sz w:val="15"/>
          <w:szCs w:val="15"/>
        </w:rPr>
        <w:t xml:space="preserve">》（简称 </w:t>
      </w:r>
      <w:r>
        <w:rPr>
          <w:rFonts w:ascii="Arial" w:hAnsi="Arial" w:cs="Arial"/>
          <w:sz w:val="15"/>
          <w:szCs w:val="15"/>
        </w:rPr>
        <w:t>SZCA</w:t>
      </w:r>
      <w:r>
        <w:rPr>
          <w:rFonts w:hint="eastAsia" w:ascii="Arial" w:hAnsi="Arial" w:cs="Arial"/>
          <w:sz w:val="15"/>
          <w:szCs w:val="15"/>
        </w:rPr>
        <w:t xml:space="preserve">  </w:t>
      </w:r>
      <w:r>
        <w:rPr>
          <w:rFonts w:ascii="Arial" w:hAnsi="Arial" w:cs="Arial"/>
          <w:sz w:val="15"/>
          <w:szCs w:val="15"/>
        </w:rPr>
        <w:t>CPS</w:t>
      </w:r>
      <w:r>
        <w:rPr>
          <w:rFonts w:hint="eastAsia" w:ascii="宋体" w:hAnsi="宋体"/>
          <w:sz w:val="15"/>
          <w:szCs w:val="15"/>
        </w:rPr>
        <w:t>）为准。有关详情请浏览</w:t>
      </w:r>
      <w:r>
        <w:rPr>
          <w:rFonts w:ascii="Arial" w:hAnsi="Arial" w:cs="Arial"/>
          <w:sz w:val="15"/>
          <w:szCs w:val="15"/>
        </w:rPr>
        <w:t>http</w:t>
      </w:r>
      <w:r>
        <w:rPr>
          <w:rFonts w:hint="eastAsia" w:ascii="Arial" w:hAnsi="Arial" w:cs="Arial"/>
          <w:sz w:val="15"/>
          <w:szCs w:val="15"/>
        </w:rPr>
        <w:t>s</w:t>
      </w:r>
      <w:r>
        <w:rPr>
          <w:rFonts w:ascii="Arial" w:hAnsi="Arial" w:cs="Arial"/>
          <w:sz w:val="15"/>
          <w:szCs w:val="15"/>
        </w:rPr>
        <w:t>://www.szca.</w:t>
      </w:r>
      <w:r>
        <w:rPr>
          <w:rFonts w:hint="eastAsia" w:ascii="Arial" w:hAnsi="Arial" w:cs="Arial"/>
          <w:sz w:val="15"/>
          <w:szCs w:val="15"/>
        </w:rPr>
        <w:t>com</w:t>
      </w:r>
      <w:r>
        <w:rPr>
          <w:rFonts w:hint="eastAsia" w:ascii="宋体" w:hAnsi="宋体"/>
          <w:sz w:val="15"/>
          <w:szCs w:val="15"/>
        </w:rPr>
        <w:t>。</w:t>
      </w:r>
    </w:p>
    <w:p>
      <w:pPr>
        <w:spacing w:line="240" w:lineRule="exact"/>
        <w:ind w:left="-899" w:leftChars="-428" w:right="-874" w:rightChars="-416" w:firstLine="300" w:firstLineChars="200"/>
        <w:rPr>
          <w:rFonts w:hint="eastAsia" w:ascii="宋体" w:hAnsi="宋体"/>
          <w:b/>
          <w:sz w:val="15"/>
          <w:szCs w:val="15"/>
        </w:rPr>
      </w:pPr>
      <w:r>
        <w:rPr>
          <w:rFonts w:hint="eastAsia" w:ascii="宋体" w:hAnsi="宋体"/>
          <w:b/>
          <w:sz w:val="15"/>
          <w:szCs w:val="15"/>
        </w:rPr>
        <w:t>一、</w:t>
      </w:r>
      <w:r>
        <w:rPr>
          <w:rFonts w:hint="eastAsia"/>
          <w:b/>
          <w:sz w:val="15"/>
          <w:szCs w:val="15"/>
        </w:rPr>
        <w:t>用户</w:t>
      </w:r>
      <w:r>
        <w:rPr>
          <w:rFonts w:hint="eastAsia" w:ascii="宋体" w:hAnsi="宋体"/>
          <w:b/>
          <w:sz w:val="15"/>
          <w:szCs w:val="15"/>
        </w:rPr>
        <w:t>的权利与责任</w:t>
      </w:r>
    </w:p>
    <w:p>
      <w:pPr>
        <w:numPr>
          <w:ilvl w:val="0"/>
          <w:numId w:val="1"/>
        </w:numPr>
        <w:spacing w:line="240" w:lineRule="exact"/>
        <w:ind w:left="-283" w:leftChars="-270" w:right="-874" w:rightChars="-416" w:hanging="284"/>
        <w:rPr>
          <w:rFonts w:hint="eastAsia" w:ascii="宋体" w:hAnsi="宋体"/>
          <w:sz w:val="15"/>
          <w:szCs w:val="15"/>
        </w:rPr>
      </w:pPr>
      <w:r>
        <w:rPr>
          <w:rFonts w:hint="eastAsia" w:ascii="宋体" w:hAnsi="宋体"/>
          <w:sz w:val="15"/>
          <w:szCs w:val="15"/>
        </w:rPr>
        <w:t>用户在申请数字证书时，须按照</w:t>
      </w:r>
      <w:r>
        <w:rPr>
          <w:rFonts w:ascii="宋体" w:hAnsi="宋体"/>
          <w:sz w:val="15"/>
          <w:szCs w:val="15"/>
        </w:rPr>
        <w:t>SZCA</w:t>
      </w:r>
      <w:r>
        <w:rPr>
          <w:rFonts w:hint="eastAsia" w:ascii="宋体" w:hAnsi="宋体"/>
          <w:sz w:val="15"/>
          <w:szCs w:val="15"/>
        </w:rPr>
        <w:t>的有关规定办理申请，提供真实、完整、准确的信息及证明材料；如同时申请电子签章的，应提供与申请人在工商注册机构、公安机关处备案的印章章膜或手写签名尺寸、样式、规格完全相同的签章图片信息；否则，由此造成责任和法律后果，由用户承担。</w:t>
      </w:r>
    </w:p>
    <w:p>
      <w:pPr>
        <w:numPr>
          <w:ilvl w:val="0"/>
          <w:numId w:val="1"/>
        </w:numPr>
        <w:spacing w:line="240" w:lineRule="exact"/>
        <w:ind w:left="-283" w:leftChars="-270" w:right="-874" w:rightChars="-416" w:hanging="284"/>
        <w:rPr>
          <w:rFonts w:hint="eastAsia"/>
          <w:sz w:val="15"/>
          <w:szCs w:val="15"/>
        </w:rPr>
      </w:pPr>
      <w:r>
        <w:rPr>
          <w:rFonts w:hint="eastAsia"/>
          <w:sz w:val="15"/>
          <w:szCs w:val="15"/>
        </w:rPr>
        <w:t>用户在获得数字证书时应及时检查确认数字证书的内容和功能，如无异议则视为接受证书。</w:t>
      </w:r>
    </w:p>
    <w:p>
      <w:pPr>
        <w:numPr>
          <w:ilvl w:val="0"/>
          <w:numId w:val="1"/>
        </w:numPr>
        <w:spacing w:line="240" w:lineRule="exact"/>
        <w:ind w:left="-283" w:leftChars="-270" w:right="-693" w:rightChars="-330" w:hanging="284"/>
        <w:rPr>
          <w:rFonts w:hint="eastAsia"/>
          <w:sz w:val="15"/>
          <w:szCs w:val="15"/>
        </w:rPr>
      </w:pPr>
      <w:r>
        <w:rPr>
          <w:rFonts w:hint="eastAsia"/>
          <w:sz w:val="15"/>
          <w:szCs w:val="15"/>
        </w:rPr>
        <w:t>用户如不同意SZCA发布数字证书至OCSP等信息库的，应在申请时提出，如无异议的视为同意发布。</w:t>
      </w:r>
    </w:p>
    <w:p>
      <w:pPr>
        <w:numPr>
          <w:ilvl w:val="0"/>
          <w:numId w:val="1"/>
        </w:numPr>
        <w:spacing w:line="240" w:lineRule="exact"/>
        <w:ind w:left="-283" w:leftChars="-270" w:right="-693" w:rightChars="-330" w:hanging="284"/>
        <w:rPr>
          <w:rFonts w:hint="eastAsia"/>
          <w:sz w:val="15"/>
          <w:szCs w:val="15"/>
        </w:rPr>
      </w:pPr>
      <w:r>
        <w:rPr>
          <w:rFonts w:hint="eastAsia"/>
          <w:sz w:val="15"/>
          <w:szCs w:val="15"/>
        </w:rPr>
        <w:t>用户应在数字证书有效期内使用证书，证书到期如需续用的，须在证书期满前一个月内向</w:t>
      </w:r>
      <w:r>
        <w:rPr>
          <w:sz w:val="15"/>
          <w:szCs w:val="15"/>
        </w:rPr>
        <w:t>SZCA</w:t>
      </w:r>
      <w:r>
        <w:rPr>
          <w:rFonts w:hint="eastAsia"/>
          <w:sz w:val="15"/>
          <w:szCs w:val="15"/>
        </w:rPr>
        <w:t>申请证书续期、更新。</w:t>
      </w:r>
    </w:p>
    <w:p>
      <w:pPr>
        <w:numPr>
          <w:ilvl w:val="0"/>
          <w:numId w:val="1"/>
        </w:numPr>
        <w:spacing w:line="240" w:lineRule="exact"/>
        <w:ind w:left="-283" w:leftChars="-270" w:right="-874" w:rightChars="-416" w:hanging="284"/>
        <w:rPr>
          <w:rFonts w:hint="eastAsia"/>
          <w:sz w:val="15"/>
          <w:szCs w:val="15"/>
        </w:rPr>
      </w:pPr>
      <w:r>
        <w:rPr>
          <w:rFonts w:hint="eastAsia"/>
          <w:sz w:val="15"/>
          <w:szCs w:val="15"/>
        </w:rPr>
        <w:t>用户应妥善保管、使用</w:t>
      </w:r>
      <w:r>
        <w:rPr>
          <w:sz w:val="15"/>
          <w:szCs w:val="15"/>
        </w:rPr>
        <w:t>SZCA</w:t>
      </w:r>
      <w:r>
        <w:rPr>
          <w:rFonts w:hint="eastAsia"/>
          <w:sz w:val="15"/>
          <w:szCs w:val="15"/>
        </w:rPr>
        <w:t>签发的数字证书私钥及其激活、使用相关的数据、设备、凭据，如ukey、账户密码、PIN码、OTP短信验证码、保护口令等，不得出租、出借、转让他人使用，如因用户保管不善、泄漏或交付他人造成的私钥泄露，毁损，遗失，被篡改、伪造、冒用、盗用的，造成的损失由用户自行承担。</w:t>
      </w:r>
    </w:p>
    <w:p>
      <w:pPr>
        <w:numPr>
          <w:ilvl w:val="0"/>
          <w:numId w:val="1"/>
        </w:numPr>
        <w:spacing w:line="240" w:lineRule="exact"/>
        <w:ind w:left="-283" w:leftChars="-270" w:right="-874" w:rightChars="-416" w:hanging="284"/>
        <w:rPr>
          <w:rFonts w:hint="eastAsia"/>
          <w:sz w:val="15"/>
          <w:szCs w:val="15"/>
        </w:rPr>
      </w:pPr>
      <w:r>
        <w:rPr>
          <w:rFonts w:hint="eastAsia"/>
          <w:sz w:val="15"/>
          <w:szCs w:val="15"/>
        </w:rPr>
        <w:t>如遇数字证书密钥或其使用介质、数据遗失、被盗等任何私钥泄露失密情形的</w:t>
      </w:r>
      <w:r>
        <w:rPr>
          <w:rFonts w:hint="eastAsia"/>
          <w:sz w:val="15"/>
          <w:szCs w:val="15"/>
          <w:lang w:val="en-GB"/>
        </w:rPr>
        <w:t>，</w:t>
      </w:r>
      <w:r>
        <w:rPr>
          <w:rFonts w:hint="eastAsia"/>
          <w:sz w:val="15"/>
          <w:szCs w:val="15"/>
        </w:rPr>
        <w:t>用户应立即通知</w:t>
      </w:r>
      <w:r>
        <w:rPr>
          <w:sz w:val="15"/>
          <w:szCs w:val="15"/>
        </w:rPr>
        <w:t>SZCA</w:t>
      </w:r>
      <w:r>
        <w:rPr>
          <w:rFonts w:hint="eastAsia"/>
          <w:sz w:val="15"/>
          <w:szCs w:val="15"/>
        </w:rPr>
        <w:t>、申请撤销证书。</w:t>
      </w:r>
    </w:p>
    <w:p>
      <w:pPr>
        <w:numPr>
          <w:ilvl w:val="0"/>
          <w:numId w:val="1"/>
        </w:numPr>
        <w:spacing w:line="240" w:lineRule="exact"/>
        <w:ind w:left="-283" w:leftChars="-270" w:right="-874" w:rightChars="-416" w:hanging="284"/>
        <w:rPr>
          <w:rFonts w:hint="eastAsia"/>
          <w:sz w:val="15"/>
          <w:szCs w:val="15"/>
        </w:rPr>
      </w:pPr>
      <w:r>
        <w:rPr>
          <w:rFonts w:hint="eastAsia"/>
          <w:sz w:val="15"/>
          <w:szCs w:val="15"/>
        </w:rPr>
        <w:t>证书所含的用户信息，或证书签发依据的相关的申请信息（含证明文件）发生变更的，应及时通知SZCA。</w:t>
      </w:r>
    </w:p>
    <w:p>
      <w:pPr>
        <w:numPr>
          <w:ilvl w:val="0"/>
          <w:numId w:val="1"/>
        </w:numPr>
        <w:spacing w:line="240" w:lineRule="exact"/>
        <w:ind w:left="-283" w:leftChars="-270" w:right="-874" w:rightChars="-416" w:hanging="284"/>
        <w:rPr>
          <w:rFonts w:hint="eastAsia"/>
          <w:b/>
          <w:sz w:val="15"/>
          <w:szCs w:val="15"/>
        </w:rPr>
      </w:pPr>
      <w:r>
        <w:rPr>
          <w:rFonts w:hint="eastAsia" w:ascii="宋体" w:hAnsi="宋体"/>
          <w:b/>
          <w:sz w:val="15"/>
          <w:szCs w:val="15"/>
        </w:rPr>
        <w:t>用户知悉并同意授权：（1）SZCA在为用户身份认证，并签发数字证书及提供证书服务的目的和范围内，依法适当且必要地收集、使用、保存您的信息，包括姓名、身份证号、手机号、联系地址、身份证件、及人脸图片影印材料、营业执照等；（2）S</w:t>
      </w:r>
      <w:r>
        <w:rPr>
          <w:rFonts w:ascii="宋体" w:hAnsi="宋体"/>
          <w:b/>
          <w:sz w:val="15"/>
          <w:szCs w:val="15"/>
        </w:rPr>
        <w:t>ZCA</w:t>
      </w:r>
      <w:r>
        <w:rPr>
          <w:rFonts w:hint="eastAsia" w:ascii="宋体" w:hAnsi="宋体"/>
          <w:b/>
          <w:sz w:val="15"/>
          <w:szCs w:val="15"/>
        </w:rPr>
        <w:t>通过第三方机构查询、验证由第三方合作机构合法收集、加工、整理产生且核实您提交的个人信息所必需的信息；（3）S</w:t>
      </w:r>
      <w:r>
        <w:rPr>
          <w:rFonts w:ascii="宋体" w:hAnsi="宋体"/>
          <w:b/>
          <w:sz w:val="15"/>
          <w:szCs w:val="15"/>
        </w:rPr>
        <w:t>ZCA</w:t>
      </w:r>
      <w:r>
        <w:rPr>
          <w:rFonts w:hint="eastAsia" w:ascii="宋体" w:hAnsi="宋体"/>
          <w:b/>
          <w:sz w:val="15"/>
          <w:szCs w:val="15"/>
        </w:rPr>
        <w:t>通过第三方合作机构向其他具备合法资质或合法数据来源的第三方收集、查询、整理本人信息，并同意上述合法资质的第三方向S</w:t>
      </w:r>
      <w:r>
        <w:rPr>
          <w:rFonts w:ascii="宋体" w:hAnsi="宋体"/>
          <w:b/>
          <w:sz w:val="15"/>
          <w:szCs w:val="15"/>
        </w:rPr>
        <w:t>ZCA</w:t>
      </w:r>
      <w:r>
        <w:rPr>
          <w:rFonts w:hint="eastAsia" w:ascii="宋体" w:hAnsi="宋体"/>
          <w:b/>
          <w:sz w:val="15"/>
          <w:szCs w:val="15"/>
        </w:rPr>
        <w:t>、第三方合作机构提供核实和验证本人信息的服务。</w:t>
      </w:r>
    </w:p>
    <w:p>
      <w:pPr>
        <w:numPr>
          <w:ilvl w:val="0"/>
          <w:numId w:val="1"/>
        </w:numPr>
        <w:spacing w:line="240" w:lineRule="exact"/>
        <w:ind w:left="-283" w:leftChars="-270" w:right="-874" w:rightChars="-416" w:hanging="284"/>
        <w:rPr>
          <w:rFonts w:hint="eastAsia" w:ascii="宋体" w:hAnsi="宋体"/>
          <w:sz w:val="15"/>
          <w:szCs w:val="15"/>
        </w:rPr>
      </w:pPr>
      <w:r>
        <w:rPr>
          <w:rFonts w:hint="eastAsia" w:ascii="宋体" w:hAnsi="宋体"/>
          <w:sz w:val="15"/>
          <w:szCs w:val="15"/>
        </w:rPr>
        <w:t>有下列情况之一的，由用户承担责任：（1）用户故意或过失未提供真实、准确、完整的申请资料，造成相关各方损失的；（2）</w:t>
      </w:r>
      <w:r>
        <w:rPr>
          <w:rFonts w:hint="eastAsia"/>
          <w:sz w:val="15"/>
          <w:szCs w:val="15"/>
        </w:rPr>
        <w:t>因用户转让、出借或出租证书而产生的一切损失的；</w:t>
      </w:r>
      <w:r>
        <w:rPr>
          <w:rFonts w:hint="eastAsia"/>
          <w:sz w:val="15"/>
          <w:szCs w:val="15"/>
          <w:lang w:val="en-GB"/>
        </w:rPr>
        <w:t>（3）用户丢失介质，或不慎将证书密钥泄露造成证书被</w:t>
      </w:r>
      <w:r>
        <w:rPr>
          <w:rFonts w:hint="eastAsia"/>
          <w:sz w:val="15"/>
          <w:szCs w:val="15"/>
        </w:rPr>
        <w:t>盗用、冒用、伪造或者篡改</w:t>
      </w:r>
      <w:r>
        <w:rPr>
          <w:rFonts w:hint="eastAsia" w:ascii="宋体" w:hAnsi="宋体"/>
          <w:sz w:val="15"/>
          <w:szCs w:val="15"/>
        </w:rPr>
        <w:t>造成相关各方损失的</w:t>
      </w:r>
      <w:r>
        <w:rPr>
          <w:rFonts w:hint="eastAsia"/>
          <w:sz w:val="15"/>
          <w:szCs w:val="15"/>
        </w:rPr>
        <w:t>；</w:t>
      </w:r>
      <w:r>
        <w:rPr>
          <w:rFonts w:hint="eastAsia"/>
          <w:sz w:val="15"/>
          <w:szCs w:val="15"/>
          <w:lang w:val="en-GB"/>
        </w:rPr>
        <w:t>（4）</w:t>
      </w:r>
      <w:r>
        <w:rPr>
          <w:rFonts w:hint="eastAsia"/>
          <w:sz w:val="15"/>
          <w:szCs w:val="15"/>
        </w:rPr>
        <w:t>因用户信息发生变化且未及时通知</w:t>
      </w:r>
      <w:r>
        <w:rPr>
          <w:sz w:val="15"/>
          <w:szCs w:val="15"/>
        </w:rPr>
        <w:t>SZCA</w:t>
      </w:r>
      <w:r>
        <w:rPr>
          <w:rFonts w:hint="eastAsia"/>
          <w:sz w:val="15"/>
          <w:szCs w:val="15"/>
        </w:rPr>
        <w:t>更新证书信息而造成损失的；</w:t>
      </w:r>
      <w:r>
        <w:rPr>
          <w:rFonts w:hint="eastAsia"/>
          <w:sz w:val="15"/>
          <w:szCs w:val="15"/>
          <w:lang w:val="en-GB"/>
        </w:rPr>
        <w:t xml:space="preserve"> （5）</w:t>
      </w:r>
      <w:r>
        <w:rPr>
          <w:rFonts w:hint="eastAsia"/>
          <w:sz w:val="15"/>
          <w:szCs w:val="15"/>
        </w:rPr>
        <w:t>用户违反约定超越范围、用途、条件及期限不当使用或滥用数字证书。</w:t>
      </w:r>
    </w:p>
    <w:p>
      <w:pPr>
        <w:spacing w:line="240" w:lineRule="exact"/>
        <w:ind w:left="-899" w:leftChars="-428" w:right="-874" w:rightChars="-416" w:firstLine="300" w:firstLineChars="200"/>
        <w:rPr>
          <w:rFonts w:hint="eastAsia"/>
          <w:sz w:val="15"/>
          <w:szCs w:val="15"/>
        </w:rPr>
      </w:pPr>
      <w:r>
        <w:rPr>
          <w:rFonts w:hint="eastAsia" w:ascii="宋体" w:hAnsi="宋体"/>
          <w:b/>
          <w:sz w:val="15"/>
          <w:szCs w:val="15"/>
        </w:rPr>
        <w:t>二 、</w:t>
      </w:r>
      <w:r>
        <w:rPr>
          <w:rFonts w:ascii="宋体" w:hAnsi="宋体"/>
          <w:b/>
          <w:sz w:val="15"/>
          <w:szCs w:val="15"/>
        </w:rPr>
        <w:t>SZCA</w:t>
      </w:r>
      <w:r>
        <w:rPr>
          <w:rFonts w:hint="eastAsia" w:ascii="宋体" w:hAnsi="宋体"/>
          <w:b/>
          <w:sz w:val="15"/>
          <w:szCs w:val="15"/>
        </w:rPr>
        <w:t>的权利与责任</w:t>
      </w:r>
    </w:p>
    <w:p>
      <w:pPr>
        <w:numPr>
          <w:ilvl w:val="0"/>
          <w:numId w:val="2"/>
        </w:numPr>
        <w:spacing w:line="240" w:lineRule="exact"/>
        <w:ind w:left="-142" w:right="-874" w:rightChars="-416"/>
        <w:rPr>
          <w:rFonts w:hint="eastAsia"/>
          <w:sz w:val="15"/>
          <w:szCs w:val="15"/>
        </w:rPr>
      </w:pPr>
      <w:r>
        <w:rPr>
          <w:sz w:val="15"/>
          <w:szCs w:val="15"/>
        </w:rPr>
        <w:t>SZCA</w:t>
      </w:r>
      <w:r>
        <w:rPr>
          <w:rFonts w:hint="eastAsia"/>
          <w:sz w:val="15"/>
          <w:szCs w:val="15"/>
        </w:rPr>
        <w:t>遵照《</w:t>
      </w:r>
      <w:r>
        <w:rPr>
          <w:sz w:val="15"/>
          <w:szCs w:val="15"/>
        </w:rPr>
        <w:t>深圳CA电子认证业务规则</w:t>
      </w:r>
      <w:r>
        <w:rPr>
          <w:rFonts w:hint="eastAsia"/>
          <w:sz w:val="15"/>
          <w:szCs w:val="15"/>
        </w:rPr>
        <w:t>》及相关流程签发证书。用户申请、使用SZCA数字证书前，应阅读SZCA的CPS熟悉数字证书的功能、使用证书各方的权利、义务以及SZCA的责任范围。</w:t>
      </w:r>
    </w:p>
    <w:p>
      <w:pPr>
        <w:numPr>
          <w:ilvl w:val="0"/>
          <w:numId w:val="2"/>
        </w:numPr>
        <w:spacing w:line="240" w:lineRule="exact"/>
        <w:ind w:left="-142" w:right="-874" w:rightChars="-416"/>
        <w:rPr>
          <w:rFonts w:hint="eastAsia"/>
          <w:sz w:val="15"/>
          <w:szCs w:val="15"/>
        </w:rPr>
      </w:pPr>
      <w:r>
        <w:rPr>
          <w:rFonts w:hint="eastAsia"/>
          <w:sz w:val="15"/>
          <w:szCs w:val="15"/>
        </w:rPr>
        <w:t>在现有技术条件下，SZCA保证所提供的数字证书服务的安全稳定，能有效防止伪造、篡改、破解。如因技术标准变化，SZCA将升级更新证书、相关密码算法技术、及证书系统、软硬件设备，并对有效期内的证书提供更新服务。</w:t>
      </w:r>
    </w:p>
    <w:p>
      <w:pPr>
        <w:numPr>
          <w:ilvl w:val="0"/>
          <w:numId w:val="2"/>
        </w:numPr>
        <w:spacing w:line="240" w:lineRule="exact"/>
        <w:ind w:left="-142" w:right="-874" w:rightChars="-416"/>
        <w:rPr>
          <w:rFonts w:hint="eastAsia"/>
          <w:sz w:val="15"/>
          <w:szCs w:val="15"/>
        </w:rPr>
      </w:pPr>
      <w:r>
        <w:rPr>
          <w:rFonts w:hint="eastAsia"/>
          <w:sz w:val="15"/>
          <w:szCs w:val="15"/>
        </w:rPr>
        <w:t>基于安全的理由，</w:t>
      </w:r>
      <w:r>
        <w:rPr>
          <w:sz w:val="15"/>
          <w:szCs w:val="15"/>
        </w:rPr>
        <w:t>SZCA</w:t>
      </w:r>
      <w:r>
        <w:rPr>
          <w:rFonts w:hint="eastAsia"/>
          <w:sz w:val="15"/>
          <w:szCs w:val="15"/>
        </w:rPr>
        <w:t>有权要求用户及时更新数字证书。用户在收到更新通知时，应在规定的期限内到</w:t>
      </w:r>
      <w:r>
        <w:rPr>
          <w:sz w:val="15"/>
          <w:szCs w:val="15"/>
        </w:rPr>
        <w:t>SZCA</w:t>
      </w:r>
      <w:r>
        <w:rPr>
          <w:rFonts w:hint="eastAsia"/>
          <w:sz w:val="15"/>
          <w:szCs w:val="15"/>
        </w:rPr>
        <w:t>更新证书。否则，所产生的后果由用户自行承担。</w:t>
      </w:r>
    </w:p>
    <w:p>
      <w:pPr>
        <w:numPr>
          <w:ilvl w:val="0"/>
          <w:numId w:val="2"/>
        </w:numPr>
        <w:spacing w:line="240" w:lineRule="exact"/>
        <w:ind w:left="-142" w:right="-874" w:rightChars="-416"/>
        <w:rPr>
          <w:rFonts w:hint="eastAsia"/>
          <w:sz w:val="15"/>
          <w:szCs w:val="15"/>
        </w:rPr>
      </w:pPr>
      <w:r>
        <w:rPr>
          <w:rFonts w:hint="eastAsia"/>
          <w:sz w:val="15"/>
          <w:szCs w:val="15"/>
        </w:rPr>
        <w:t>SZCA将依法对用户提交的数字证书申请信息进行审查，认证用户的身份，并在数字证书有效期内提供数字证书及其状态的查询、验证服务。</w:t>
      </w:r>
    </w:p>
    <w:p>
      <w:pPr>
        <w:numPr>
          <w:ilvl w:val="0"/>
          <w:numId w:val="2"/>
        </w:numPr>
        <w:spacing w:line="240" w:lineRule="exact"/>
        <w:ind w:left="-142" w:right="-874" w:rightChars="-416"/>
        <w:rPr>
          <w:rFonts w:hint="eastAsia"/>
          <w:sz w:val="15"/>
          <w:szCs w:val="15"/>
        </w:rPr>
      </w:pPr>
      <w:r>
        <w:rPr>
          <w:rFonts w:hint="eastAsia"/>
          <w:sz w:val="15"/>
          <w:szCs w:val="15"/>
        </w:rPr>
        <w:t>SZCA承诺按国家法律法规，及CPS等的规定，严格保护用户的个人信息安全，除以下情形外，不对外提供、泄露用户信息：(1)用户本人同意的；（2）保护国家国防、卫生等国家公共安全及利益所要求的；（3）法律法规、司法机关、政府部门（含监管机构）依程序要求的；（4）其他法定应当提供用户信息的。</w:t>
      </w:r>
    </w:p>
    <w:p>
      <w:pPr>
        <w:numPr>
          <w:ilvl w:val="0"/>
          <w:numId w:val="2"/>
        </w:numPr>
        <w:spacing w:line="240" w:lineRule="exact"/>
        <w:ind w:left="-142" w:right="-874" w:rightChars="-416"/>
        <w:rPr>
          <w:rFonts w:hint="eastAsia"/>
          <w:sz w:val="15"/>
          <w:szCs w:val="15"/>
        </w:rPr>
      </w:pPr>
      <w:r>
        <w:rPr>
          <w:rFonts w:hint="eastAsia"/>
          <w:sz w:val="15"/>
          <w:szCs w:val="15"/>
        </w:rPr>
        <w:t>有下列情形之一的，</w:t>
      </w:r>
      <w:r>
        <w:rPr>
          <w:sz w:val="15"/>
          <w:szCs w:val="15"/>
        </w:rPr>
        <w:t>SZCA</w:t>
      </w:r>
      <w:r>
        <w:rPr>
          <w:rFonts w:hint="eastAsia"/>
          <w:sz w:val="15"/>
          <w:szCs w:val="15"/>
        </w:rPr>
        <w:t>有权撤销用户的数字证书：</w:t>
      </w:r>
      <w:r>
        <w:rPr>
          <w:rFonts w:hint="eastAsia" w:ascii="宋体" w:hAnsi="宋体"/>
          <w:sz w:val="15"/>
          <w:szCs w:val="15"/>
        </w:rPr>
        <w:t>（1）用户申请证书时提供不真实信息；（2）用户未按规定缴纳证书服务费用；（3）证书对应的私钥泄露或出现其他证书的安全性得不到保证的情况；（4）用户不能履行或违反了相关法律、法规和本协议所规定的责任和义务；</w:t>
      </w:r>
      <w:r>
        <w:rPr>
          <w:rFonts w:hint="eastAsia"/>
          <w:sz w:val="15"/>
          <w:szCs w:val="15"/>
        </w:rPr>
        <w:t>（5）法律、法规规定的其他情形。</w:t>
      </w:r>
    </w:p>
    <w:p>
      <w:pPr>
        <w:numPr>
          <w:ilvl w:val="0"/>
          <w:numId w:val="2"/>
        </w:numPr>
        <w:spacing w:line="240" w:lineRule="exact"/>
        <w:ind w:left="-142" w:right="-874" w:rightChars="-416"/>
        <w:rPr>
          <w:rFonts w:hint="eastAsia"/>
          <w:b/>
          <w:sz w:val="15"/>
          <w:szCs w:val="15"/>
        </w:rPr>
      </w:pPr>
      <w:r>
        <w:rPr>
          <w:rFonts w:hint="eastAsia"/>
          <w:b/>
          <w:sz w:val="15"/>
          <w:szCs w:val="15"/>
        </w:rPr>
        <w:t>因SZCA原因造成用户损失的，SZCA将按照《深圳CA电子认证业务规则》进行赔偿。</w:t>
      </w:r>
      <w:r>
        <w:rPr>
          <w:rFonts w:hint="eastAsia" w:ascii="宋体" w:hAnsi="宋体"/>
          <w:b/>
          <w:sz w:val="15"/>
          <w:szCs w:val="15"/>
        </w:rPr>
        <w:t>以下损失不在赔偿之列：(1)任何直接或间接的利润或收入损失、信誉或商誉损害、任何商机或契机损失；(2) 由上述损失相应生成或附带引起的损失或损害。</w:t>
      </w:r>
      <w:r>
        <w:rPr>
          <w:rFonts w:hint="eastAsia"/>
          <w:b/>
          <w:sz w:val="15"/>
          <w:szCs w:val="15"/>
        </w:rPr>
        <w:t>若SZCA严格按照法律法规、CPS提供服务的，SZCA将不承担赔偿责任。</w:t>
      </w:r>
    </w:p>
    <w:p>
      <w:pPr>
        <w:numPr>
          <w:ilvl w:val="0"/>
          <w:numId w:val="2"/>
        </w:numPr>
        <w:spacing w:line="280" w:lineRule="exact"/>
        <w:ind w:left="-142" w:right="-874" w:rightChars="-416"/>
        <w:rPr>
          <w:rFonts w:hint="eastAsia"/>
          <w:b/>
          <w:sz w:val="15"/>
          <w:szCs w:val="15"/>
        </w:rPr>
      </w:pPr>
      <w:r>
        <w:rPr>
          <w:rFonts w:hint="eastAsia"/>
          <w:b/>
          <w:sz w:val="15"/>
          <w:szCs w:val="15"/>
        </w:rPr>
        <w:t>以下情况造成的SZCA无法签发数字证书、签发错误或签发延迟的，或暂停、终止其他证书服务的，SZCA将免于承担责任和损失：（1）不可抗力；（2）因非SZCA原因造成的软、硬件故障、网络中断等技术故障，包括但不限于：关联单位如电力、电信、通讯部门而致；黑客攻击；设备或网络故障。</w:t>
      </w:r>
    </w:p>
    <w:p>
      <w:pPr>
        <w:numPr>
          <w:ilvl w:val="0"/>
          <w:numId w:val="2"/>
        </w:numPr>
        <w:spacing w:line="280" w:lineRule="exact"/>
        <w:ind w:left="-142" w:right="-874" w:rightChars="-416"/>
        <w:rPr>
          <w:rFonts w:hint="eastAsia"/>
          <w:b/>
          <w:sz w:val="15"/>
          <w:szCs w:val="15"/>
        </w:rPr>
      </w:pPr>
      <w:r>
        <w:rPr>
          <w:rFonts w:hint="eastAsia"/>
          <w:b/>
          <w:sz w:val="15"/>
          <w:szCs w:val="15"/>
        </w:rPr>
        <w:t>SZCA签发的数字证书只能用于在网络（Internet/Intranet/Extranet）上标识用户身份、保障电子数据的保密性、完整性和不可抵赖性。用户将数字证书用于其他用途引起的一切法律后果，SZCA不承担责任。</w:t>
      </w:r>
    </w:p>
    <w:p>
      <w:pPr>
        <w:spacing w:line="240" w:lineRule="exact"/>
        <w:ind w:left="-899" w:leftChars="-428" w:right="-874" w:rightChars="-416" w:firstLine="300" w:firstLineChars="200"/>
        <w:rPr>
          <w:rFonts w:hint="eastAsia" w:ascii="Arial" w:hAnsi="Arial" w:cs="Arial"/>
          <w:sz w:val="15"/>
          <w:szCs w:val="15"/>
        </w:rPr>
      </w:pPr>
      <w:r>
        <w:rPr>
          <w:rFonts w:hint="eastAsia" w:ascii="宋体" w:hAnsi="宋体"/>
          <w:b/>
          <w:sz w:val="15"/>
          <w:szCs w:val="15"/>
        </w:rPr>
        <w:t>三 、协议的生效、变更与终止</w:t>
      </w:r>
    </w:p>
    <w:p>
      <w:pPr>
        <w:numPr>
          <w:ilvl w:val="0"/>
          <w:numId w:val="3"/>
        </w:numPr>
        <w:spacing w:line="240" w:lineRule="exact"/>
        <w:ind w:right="-874" w:rightChars="-416"/>
        <w:rPr>
          <w:rFonts w:hint="eastAsia"/>
          <w:sz w:val="15"/>
          <w:szCs w:val="15"/>
        </w:rPr>
      </w:pPr>
      <w:r>
        <w:rPr>
          <w:rFonts w:hint="eastAsia"/>
          <w:sz w:val="15"/>
          <w:szCs w:val="15"/>
        </w:rPr>
        <w:t>本协议自</w:t>
      </w:r>
      <w:r>
        <w:rPr>
          <w:rFonts w:hint="eastAsia" w:ascii="宋体" w:hAnsi="宋体"/>
          <w:sz w:val="15"/>
          <w:szCs w:val="15"/>
        </w:rPr>
        <w:t>数字证书申请人</w:t>
      </w:r>
      <w:r>
        <w:rPr>
          <w:rFonts w:hint="eastAsia"/>
          <w:sz w:val="15"/>
          <w:szCs w:val="15"/>
        </w:rPr>
        <w:t>阅读、同意递交申请，或使用数字证书起开始生效。</w:t>
      </w:r>
    </w:p>
    <w:p>
      <w:pPr>
        <w:numPr>
          <w:ilvl w:val="0"/>
          <w:numId w:val="3"/>
        </w:numPr>
        <w:spacing w:line="240" w:lineRule="exact"/>
        <w:ind w:right="-874" w:rightChars="-416"/>
        <w:rPr>
          <w:rFonts w:hint="eastAsia" w:ascii="Arial" w:hAnsi="Arial" w:cs="Arial"/>
          <w:sz w:val="15"/>
          <w:szCs w:val="15"/>
        </w:rPr>
      </w:pPr>
      <w:r>
        <w:rPr>
          <w:rFonts w:hint="eastAsia"/>
          <w:sz w:val="15"/>
          <w:szCs w:val="15"/>
        </w:rPr>
        <w:t>本协议有效期与证书有效期一致，若发生任何业务变更（例如办理续期、变更、冻结、解冻、注销等）且已重新签订协议的，以重新签订的协议为准并按新协议内容执行，原协议自动作废。</w:t>
      </w:r>
    </w:p>
    <w:p>
      <w:pPr>
        <w:numPr>
          <w:ilvl w:val="0"/>
          <w:numId w:val="3"/>
        </w:numPr>
        <w:spacing w:line="240" w:lineRule="exact"/>
        <w:ind w:right="-874" w:rightChars="-416"/>
        <w:rPr>
          <w:rFonts w:hint="eastAsia" w:ascii="Arial" w:hAnsi="Arial" w:cs="Arial"/>
          <w:sz w:val="15"/>
          <w:szCs w:val="15"/>
        </w:rPr>
      </w:pPr>
      <w:r>
        <w:rPr>
          <w:rFonts w:hint="eastAsia"/>
          <w:sz w:val="15"/>
          <w:szCs w:val="15"/>
        </w:rPr>
        <w:t>本协议如有修订，</w:t>
      </w:r>
      <w:r>
        <w:rPr>
          <w:sz w:val="15"/>
          <w:szCs w:val="15"/>
        </w:rPr>
        <w:t>SZCA</w:t>
      </w:r>
      <w:r>
        <w:rPr>
          <w:rFonts w:hint="eastAsia"/>
          <w:sz w:val="15"/>
          <w:szCs w:val="15"/>
        </w:rPr>
        <w:t>会以电子邮件或网站等方式进行公告；如用户不同意新修订的协议的，应停止使用数字证书并通知SZCA撤销证书；如未提出异议的，视为同意新协议。</w:t>
      </w:r>
    </w:p>
    <w:p>
      <w:pPr>
        <w:numPr>
          <w:ilvl w:val="0"/>
          <w:numId w:val="3"/>
        </w:numPr>
        <w:spacing w:line="240" w:lineRule="exact"/>
        <w:ind w:right="-874" w:rightChars="-416"/>
        <w:rPr>
          <w:rFonts w:hint="eastAsia" w:ascii="Arial" w:hAnsi="Arial" w:cs="Arial"/>
          <w:sz w:val="15"/>
          <w:szCs w:val="15"/>
        </w:rPr>
      </w:pPr>
      <w:r>
        <w:rPr>
          <w:rFonts w:hint="eastAsia" w:ascii="Arial" w:hAnsi="Arial" w:cs="Arial"/>
          <w:sz w:val="15"/>
          <w:szCs w:val="15"/>
        </w:rPr>
        <w:t>本协议未尽事宜，按照《深圳CA电子认证业务规则》执行。本协议与《深圳CA电子认证业务规则》、《隐私政策》、《信息授权书》（如有）等共同构成完整的数字证书服务协议。</w:t>
      </w:r>
    </w:p>
    <w:p>
      <w:pPr>
        <w:spacing w:line="240" w:lineRule="exact"/>
        <w:ind w:left="-422" w:leftChars="-202" w:right="-874" w:rightChars="-416" w:hanging="2" w:hangingChars="1"/>
        <w:rPr>
          <w:rFonts w:hint="eastAsia"/>
          <w:b/>
          <w:sz w:val="15"/>
          <w:szCs w:val="15"/>
        </w:rPr>
      </w:pPr>
      <w:r>
        <w:rPr>
          <w:rFonts w:hint="eastAsia"/>
          <w:b/>
          <w:sz w:val="15"/>
          <w:szCs w:val="15"/>
        </w:rPr>
        <w:t>四、法律适用与争议解决</w:t>
      </w:r>
    </w:p>
    <w:p>
      <w:pPr>
        <w:numPr>
          <w:ilvl w:val="0"/>
          <w:numId w:val="4"/>
        </w:numPr>
        <w:spacing w:line="240" w:lineRule="exact"/>
        <w:ind w:left="-420" w:leftChars="-200" w:right="-874" w:rightChars="-416"/>
        <w:rPr>
          <w:rFonts w:hint="eastAsia"/>
          <w:sz w:val="15"/>
          <w:szCs w:val="15"/>
        </w:rPr>
      </w:pPr>
      <w:r>
        <w:rPr>
          <w:rFonts w:hint="eastAsia"/>
          <w:sz w:val="15"/>
          <w:szCs w:val="15"/>
        </w:rPr>
        <w:t>本协议的生效、履行、解释、争议解决一律适用我国法律。</w:t>
      </w:r>
    </w:p>
    <w:p>
      <w:pPr>
        <w:numPr>
          <w:ilvl w:val="0"/>
          <w:numId w:val="4"/>
        </w:numPr>
        <w:spacing w:line="240" w:lineRule="exact"/>
        <w:ind w:left="-420" w:leftChars="-200" w:right="-874" w:rightChars="-416"/>
        <w:rPr>
          <w:rFonts w:hint="eastAsia"/>
          <w:sz w:val="15"/>
          <w:szCs w:val="15"/>
        </w:rPr>
      </w:pPr>
      <w:r>
        <w:rPr>
          <w:rFonts w:hint="eastAsia"/>
          <w:sz w:val="15"/>
          <w:szCs w:val="15"/>
        </w:rPr>
        <w:t>双方对本协议的生效或履行发生任何争议时，应首先本着友好协商原则解决。若协商不成的，任何一方均可提请深圳市仲裁委员会按照仲裁规则进行仲裁。仲裁裁决是终局的，对双方均具有约束力。</w:t>
      </w:r>
    </w:p>
    <w:p>
      <w:pPr>
        <w:widowControl/>
        <w:ind w:firstLine="300" w:firstLineChars="200"/>
        <w:rPr>
          <w:rFonts w:hint="eastAsia"/>
          <w:sz w:val="15"/>
          <w:szCs w:val="15"/>
          <w:lang w:val="en-GB"/>
        </w:rPr>
        <w:sectPr>
          <w:type w:val="continuous"/>
          <w:pgSz w:w="11906" w:h="16838"/>
          <w:pgMar w:top="1246" w:right="1800" w:bottom="623" w:left="1800" w:header="851" w:footer="992" w:gutter="0"/>
          <w:cols w:space="720" w:num="1"/>
          <w:docGrid w:type="lines" w:linePitch="312" w:charSpace="0"/>
        </w:sectPr>
      </w:pPr>
    </w:p>
    <w:p>
      <w:pPr>
        <w:ind w:right="-151" w:rightChars="-72"/>
        <w:jc w:val="left"/>
        <w:rPr>
          <w:rFonts w:hint="eastAsia" w:ascii="宋体" w:hAnsi="宋体" w:eastAsia="宋体" w:cs="Times New Roman"/>
          <w:b/>
          <w:kern w:val="0"/>
          <w:sz w:val="18"/>
          <w:szCs w:val="18"/>
        </w:rPr>
      </w:pPr>
    </w:p>
    <w:sectPr>
      <w:pgSz w:w="11906" w:h="16838"/>
      <w:pgMar w:top="720" w:right="991" w:bottom="720" w:left="72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E0310"/>
    <w:multiLevelType w:val="multilevel"/>
    <w:tmpl w:val="244E0310"/>
    <w:lvl w:ilvl="0" w:tentative="0">
      <w:start w:val="1"/>
      <w:numFmt w:val="decimal"/>
      <w:lvlText w:val="%1、"/>
      <w:lvlJc w:val="left"/>
      <w:pPr>
        <w:ind w:left="-64" w:hanging="360"/>
      </w:pPr>
      <w:rPr>
        <w:rFonts w:hint="default"/>
      </w:rPr>
    </w:lvl>
    <w:lvl w:ilvl="1" w:tentative="0">
      <w:start w:val="1"/>
      <w:numFmt w:val="lowerLetter"/>
      <w:lvlText w:val="%2)"/>
      <w:lvlJc w:val="left"/>
      <w:pPr>
        <w:ind w:left="416" w:hanging="420"/>
      </w:pPr>
    </w:lvl>
    <w:lvl w:ilvl="2" w:tentative="0">
      <w:start w:val="1"/>
      <w:numFmt w:val="lowerRoman"/>
      <w:lvlText w:val="%3."/>
      <w:lvlJc w:val="right"/>
      <w:pPr>
        <w:ind w:left="836" w:hanging="420"/>
      </w:pPr>
    </w:lvl>
    <w:lvl w:ilvl="3" w:tentative="0">
      <w:start w:val="1"/>
      <w:numFmt w:val="decimal"/>
      <w:lvlText w:val="%4."/>
      <w:lvlJc w:val="left"/>
      <w:pPr>
        <w:ind w:left="1256" w:hanging="420"/>
      </w:pPr>
    </w:lvl>
    <w:lvl w:ilvl="4" w:tentative="0">
      <w:start w:val="1"/>
      <w:numFmt w:val="lowerLetter"/>
      <w:lvlText w:val="%5)"/>
      <w:lvlJc w:val="left"/>
      <w:pPr>
        <w:ind w:left="1676" w:hanging="420"/>
      </w:pPr>
    </w:lvl>
    <w:lvl w:ilvl="5" w:tentative="0">
      <w:start w:val="1"/>
      <w:numFmt w:val="lowerRoman"/>
      <w:lvlText w:val="%6."/>
      <w:lvlJc w:val="right"/>
      <w:pPr>
        <w:ind w:left="2096" w:hanging="420"/>
      </w:pPr>
    </w:lvl>
    <w:lvl w:ilvl="6" w:tentative="0">
      <w:start w:val="1"/>
      <w:numFmt w:val="decimal"/>
      <w:lvlText w:val="%7."/>
      <w:lvlJc w:val="left"/>
      <w:pPr>
        <w:ind w:left="2516" w:hanging="420"/>
      </w:pPr>
    </w:lvl>
    <w:lvl w:ilvl="7" w:tentative="0">
      <w:start w:val="1"/>
      <w:numFmt w:val="lowerLetter"/>
      <w:lvlText w:val="%8)"/>
      <w:lvlJc w:val="left"/>
      <w:pPr>
        <w:ind w:left="2936" w:hanging="420"/>
      </w:pPr>
    </w:lvl>
    <w:lvl w:ilvl="8" w:tentative="0">
      <w:start w:val="1"/>
      <w:numFmt w:val="lowerRoman"/>
      <w:lvlText w:val="%9."/>
      <w:lvlJc w:val="right"/>
      <w:pPr>
        <w:ind w:left="3356" w:hanging="420"/>
      </w:pPr>
    </w:lvl>
  </w:abstractNum>
  <w:abstractNum w:abstractNumId="1">
    <w:nsid w:val="4E2D50F2"/>
    <w:multiLevelType w:val="multilevel"/>
    <w:tmpl w:val="4E2D50F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9822AC"/>
    <w:multiLevelType w:val="multilevel"/>
    <w:tmpl w:val="789822A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907513"/>
    <w:multiLevelType w:val="multilevel"/>
    <w:tmpl w:val="7C907513"/>
    <w:lvl w:ilvl="0" w:tentative="0">
      <w:start w:val="1"/>
      <w:numFmt w:val="decimal"/>
      <w:lvlText w:val="%1、"/>
      <w:lvlJc w:val="left"/>
      <w:pPr>
        <w:ind w:left="3" w:hanging="360"/>
      </w:pPr>
      <w:rPr>
        <w:rFonts w:hint="default"/>
      </w:rPr>
    </w:lvl>
    <w:lvl w:ilvl="1" w:tentative="0">
      <w:start w:val="1"/>
      <w:numFmt w:val="lowerLetter"/>
      <w:lvlText w:val="%2)"/>
      <w:lvlJc w:val="left"/>
      <w:pPr>
        <w:ind w:left="483" w:hanging="420"/>
      </w:pPr>
    </w:lvl>
    <w:lvl w:ilvl="2" w:tentative="0">
      <w:start w:val="1"/>
      <w:numFmt w:val="lowerRoman"/>
      <w:lvlText w:val="%3."/>
      <w:lvlJc w:val="right"/>
      <w:pPr>
        <w:ind w:left="903" w:hanging="420"/>
      </w:pPr>
    </w:lvl>
    <w:lvl w:ilvl="3" w:tentative="0">
      <w:start w:val="1"/>
      <w:numFmt w:val="decimal"/>
      <w:lvlText w:val="%4."/>
      <w:lvlJc w:val="left"/>
      <w:pPr>
        <w:ind w:left="1323" w:hanging="420"/>
      </w:pPr>
    </w:lvl>
    <w:lvl w:ilvl="4" w:tentative="0">
      <w:start w:val="1"/>
      <w:numFmt w:val="lowerLetter"/>
      <w:lvlText w:val="%5)"/>
      <w:lvlJc w:val="left"/>
      <w:pPr>
        <w:ind w:left="1743" w:hanging="420"/>
      </w:pPr>
    </w:lvl>
    <w:lvl w:ilvl="5" w:tentative="0">
      <w:start w:val="1"/>
      <w:numFmt w:val="lowerRoman"/>
      <w:lvlText w:val="%6."/>
      <w:lvlJc w:val="right"/>
      <w:pPr>
        <w:ind w:left="2163" w:hanging="420"/>
      </w:pPr>
    </w:lvl>
    <w:lvl w:ilvl="6" w:tentative="0">
      <w:start w:val="1"/>
      <w:numFmt w:val="decimal"/>
      <w:lvlText w:val="%7."/>
      <w:lvlJc w:val="left"/>
      <w:pPr>
        <w:ind w:left="2583" w:hanging="420"/>
      </w:pPr>
    </w:lvl>
    <w:lvl w:ilvl="7" w:tentative="0">
      <w:start w:val="1"/>
      <w:numFmt w:val="lowerLetter"/>
      <w:lvlText w:val="%8)"/>
      <w:lvlJc w:val="left"/>
      <w:pPr>
        <w:ind w:left="3003" w:hanging="420"/>
      </w:pPr>
    </w:lvl>
    <w:lvl w:ilvl="8" w:tentative="0">
      <w:start w:val="1"/>
      <w:numFmt w:val="lowerRoman"/>
      <w:lvlText w:val="%9."/>
      <w:lvlJc w:val="right"/>
      <w:pPr>
        <w:ind w:left="3423"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4YWU0YjMyZDFiOGFlYzEzNjA4NjMxNGZjOGM5YWEifQ=="/>
  </w:docVars>
  <w:rsids>
    <w:rsidRoot w:val="00794FDE"/>
    <w:rsid w:val="0008152A"/>
    <w:rsid w:val="000C0AA3"/>
    <w:rsid w:val="00121BDF"/>
    <w:rsid w:val="00151A95"/>
    <w:rsid w:val="002E21D7"/>
    <w:rsid w:val="003055B2"/>
    <w:rsid w:val="0038349C"/>
    <w:rsid w:val="003F0D92"/>
    <w:rsid w:val="0044324E"/>
    <w:rsid w:val="0066790B"/>
    <w:rsid w:val="006719D1"/>
    <w:rsid w:val="007258EC"/>
    <w:rsid w:val="00752B98"/>
    <w:rsid w:val="00794FDE"/>
    <w:rsid w:val="008825E3"/>
    <w:rsid w:val="009F63AE"/>
    <w:rsid w:val="00BB035D"/>
    <w:rsid w:val="00C07B7E"/>
    <w:rsid w:val="00CD5336"/>
    <w:rsid w:val="00D542F4"/>
    <w:rsid w:val="0E51232C"/>
    <w:rsid w:val="2FBA5CA2"/>
    <w:rsid w:val="4FE7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3"/>
    <w:semiHidden/>
    <w:qFormat/>
    <w:uiPriority w:val="99"/>
    <w:rPr>
      <w:sz w:val="18"/>
      <w:szCs w:val="18"/>
    </w:rPr>
  </w:style>
  <w:style w:type="paragraph" w:customStyle="1" w:styleId="13">
    <w:name w:val="表头"/>
    <w:basedOn w:val="2"/>
    <w:qFormat/>
    <w:uiPriority w:val="0"/>
    <w:pPr>
      <w:spacing w:before="120" w:after="0" w:line="240" w:lineRule="auto"/>
      <w:jc w:val="center"/>
    </w:pPr>
    <w:rPr>
      <w:rFonts w:ascii="Arial" w:hAnsi="Arial" w:eastAsia="宋体" w:cs="Times New Roman"/>
      <w:spacing w:val="20"/>
      <w:sz w:val="36"/>
    </w:rPr>
  </w:style>
  <w:style w:type="character" w:customStyle="1" w:styleId="14">
    <w:name w:val="标题 2 字符"/>
    <w:basedOn w:val="7"/>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74059-32C5-4ACE-97C0-5B4C400994F7}">
  <ds:schemaRefs/>
</ds:datastoreItem>
</file>

<file path=docProps/app.xml><?xml version="1.0" encoding="utf-8"?>
<Properties xmlns="http://schemas.openxmlformats.org/officeDocument/2006/extended-properties" xmlns:vt="http://schemas.openxmlformats.org/officeDocument/2006/docPropsVTypes">
  <Template>Normal.dotm</Template>
  <Company>PAIG</Company>
  <Pages>2</Pages>
  <Words>2474</Words>
  <Characters>2659</Characters>
  <Lines>31</Lines>
  <Paragraphs>8</Paragraphs>
  <TotalTime>4</TotalTime>
  <ScaleCrop>false</ScaleCrop>
  <LinksUpToDate>false</LinksUpToDate>
  <CharactersWithSpaces>2715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2023-04-12T05:40:00Z</dcterms:created>
  <dc:creator>Windows 用户</dc:creator>
  <cp:lastModifiedBy>Administrator</cp:lastModifiedBy>
  <cp:lastPrinted>2021-11-30T02:25:00Z</cp:lastPrinted>
  <dcterms:modified xsi:type="dcterms:W3CDTF">2024-11-07T02:07:06Z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D76CE40A57DC47A986E65D215CF39FD7_13</vt:lpwstr>
  </property>
</Properties>
</file>